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rFonts w:ascii="Times New Roman"/>
          <w:sz w:val="11"/>
        </w:rPr>
      </w:pPr>
    </w:p>
    <w:p>
      <w:pPr>
        <w:pStyle w:val="4"/>
        <w:ind w:left="4665"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 w:bidi="ar-SA"/>
        </w:rPr>
        <w:drawing>
          <wp:inline distT="0" distB="0" distL="0" distR="0">
            <wp:extent cx="1017905" cy="9518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07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/>
        <w:ind w:left="1622" w:right="1700"/>
        <w:jc w:val="center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CREFITO-18</w:t>
      </w:r>
    </w:p>
    <w:p>
      <w:pPr>
        <w:spacing w:before="12"/>
        <w:ind w:left="1622" w:right="1702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CONSELHO REGIONAL DE FISIOTERAPIA E TERAPIA OCUPACIONAL DA 18º REGIÃO</w:t>
      </w:r>
    </w:p>
    <w:p>
      <w:pPr>
        <w:spacing w:before="12"/>
        <w:ind w:left="1146"/>
        <w:rPr>
          <w:rFonts w:ascii="Calibri" w:hAnsi="Calibri"/>
          <w:sz w:val="17"/>
        </w:rPr>
      </w:pPr>
      <w:r>
        <w:rPr>
          <w:rFonts w:ascii="Times New Roman" w:hAnsi="Times New Roman"/>
          <w:w w:val="105"/>
          <w:sz w:val="17"/>
        </w:rPr>
        <w:t>Av 7 de Setembro nº 2140, ED. PVH Residence/Service, Sala 04 – Nosssa Senhora das Graças – CEP: 76804-124, Porto Velho/RO</w:t>
      </w:r>
    </w:p>
    <w:p>
      <w:pPr>
        <w:pStyle w:val="4"/>
        <w:tabs>
          <w:tab w:val="left" w:pos="10587"/>
        </w:tabs>
        <w:spacing w:before="200"/>
        <w:ind w:left="100"/>
        <w:jc w:val="center"/>
        <w:rPr>
          <w:rFonts w:hint="default" w:ascii="Calibri"/>
          <w:b/>
          <w:bCs/>
          <w:sz w:val="52"/>
          <w:szCs w:val="52"/>
          <w:lang w:val="pt-BR"/>
        </w:rPr>
      </w:pPr>
      <w:r>
        <w:rPr>
          <w:rFonts w:hint="default" w:ascii="Calibri"/>
          <w:b/>
          <w:bCs/>
          <w:sz w:val="52"/>
          <w:szCs w:val="52"/>
          <w:lang w:val="pt-BR"/>
        </w:rPr>
        <w:t>JUSTIFICATIVA ELEITORAL - 2023</w:t>
      </w:r>
    </w:p>
    <w:p>
      <w:pPr>
        <w:pStyle w:val="4"/>
        <w:tabs>
          <w:tab w:val="left" w:pos="10587"/>
        </w:tabs>
        <w:spacing w:before="200"/>
        <w:ind w:left="100"/>
        <w:jc w:val="both"/>
      </w:pPr>
      <w:r>
        <w:t>Nome</w:t>
      </w:r>
      <w:r>
        <w:rPr>
          <w:spacing w:val="-9"/>
        </w:rPr>
        <w:t xml:space="preserve"> </w:t>
      </w:r>
      <w:r>
        <w:t xml:space="preserve">Completo: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tabs>
          <w:tab w:val="left" w:pos="3402"/>
          <w:tab w:val="left" w:pos="5308"/>
          <w:tab w:val="left" w:pos="7054"/>
        </w:tabs>
        <w:ind w:left="100"/>
        <w:jc w:val="both"/>
        <w:rPr>
          <w:rFonts w:hint="default"/>
          <w:lang w:val="pt-BR"/>
        </w:rPr>
      </w:pPr>
      <w:r>
        <w:t>Nº</w:t>
      </w:r>
      <w:r>
        <w:rPr>
          <w:spacing w:val="-2"/>
        </w:rPr>
        <w:t xml:space="preserve"> </w:t>
      </w:r>
      <w:r>
        <w:t>CREFITO</w:t>
      </w:r>
      <w:r>
        <w:rPr>
          <w:rFonts w:hint="default"/>
          <w:lang w:val="pt-BR"/>
        </w:rPr>
        <w:t>____________________ Gênero:_______________________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</w:pPr>
      <w:r>
        <w:t>Endereço</w:t>
      </w:r>
      <w:r>
        <w:rPr>
          <w:spacing w:val="-5"/>
        </w:rPr>
        <w:t xml:space="preserve"> </w:t>
      </w:r>
      <w:r>
        <w:t>Residencial: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Cep: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tabs>
          <w:tab w:val="left" w:pos="4198"/>
          <w:tab w:val="left" w:pos="4580"/>
          <w:tab w:val="left" w:pos="9151"/>
          <w:tab w:val="left" w:pos="10473"/>
        </w:tabs>
        <w:ind w:left="100"/>
        <w:jc w:val="both"/>
        <w:rPr>
          <w:sz w:val="27"/>
        </w:rPr>
      </w:pPr>
      <w:r>
        <w:rPr>
          <w:sz w:val="28"/>
        </w:rPr>
        <w:t>Bairro: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7"/>
        </w:rPr>
        <w:t>Cidade: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Est: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>
      <w:pPr>
        <w:tabs>
          <w:tab w:val="left" w:pos="1500"/>
          <w:tab w:val="left" w:pos="3994"/>
          <w:tab w:val="left" w:pos="4294"/>
          <w:tab w:val="left" w:pos="4832"/>
          <w:tab w:val="left" w:pos="6134"/>
          <w:tab w:val="left" w:pos="6879"/>
          <w:tab w:val="left" w:pos="7165"/>
          <w:tab w:val="left" w:pos="8500"/>
          <w:tab w:val="left" w:pos="9316"/>
          <w:tab w:val="left" w:pos="10308"/>
          <w:tab w:val="left" w:pos="10688"/>
        </w:tabs>
        <w:spacing w:before="1"/>
        <w:ind w:left="100" w:right="366"/>
        <w:jc w:val="both"/>
        <w:rPr>
          <w:rFonts w:hint="default"/>
          <w:sz w:val="27"/>
          <w:u w:val="single"/>
          <w:lang w:val="pt-BR"/>
        </w:rPr>
      </w:pPr>
      <w:r>
        <w:rPr>
          <w:sz w:val="28"/>
        </w:rPr>
        <w:t>Fone :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</w:r>
      <w:r>
        <w:rPr>
          <w:sz w:val="27"/>
        </w:rPr>
        <w:t>)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rFonts w:hint="default"/>
          <w:sz w:val="27"/>
          <w:u w:val="single"/>
          <w:lang w:val="pt-BR"/>
        </w:rPr>
        <w:t xml:space="preserve">          </w:t>
      </w:r>
      <w:r>
        <w:rPr>
          <w:sz w:val="27"/>
          <w:u w:val="single"/>
        </w:rPr>
        <w:tab/>
      </w:r>
      <w:r>
        <w:rPr>
          <w:rFonts w:hint="default"/>
          <w:sz w:val="27"/>
          <w:u w:val="single"/>
          <w:lang w:val="pt-BR"/>
        </w:rPr>
        <w:t xml:space="preserve"> ou (    )                                       </w:t>
      </w:r>
    </w:p>
    <w:p>
      <w:pPr>
        <w:tabs>
          <w:tab w:val="left" w:pos="1500"/>
          <w:tab w:val="left" w:pos="3994"/>
          <w:tab w:val="left" w:pos="4294"/>
          <w:tab w:val="left" w:pos="4832"/>
          <w:tab w:val="left" w:pos="6134"/>
          <w:tab w:val="left" w:pos="6879"/>
          <w:tab w:val="left" w:pos="7165"/>
          <w:tab w:val="left" w:pos="8500"/>
          <w:tab w:val="left" w:pos="9316"/>
          <w:tab w:val="left" w:pos="10308"/>
          <w:tab w:val="left" w:pos="10688"/>
        </w:tabs>
        <w:spacing w:before="1"/>
        <w:ind w:left="100" w:right="366"/>
        <w:jc w:val="both"/>
        <w:rPr>
          <w:rFonts w:hint="default"/>
          <w:sz w:val="27"/>
          <w:u w:val="single"/>
          <w:lang w:val="pt-BR"/>
        </w:rPr>
      </w:pPr>
      <w:r>
        <w:rPr>
          <w:rFonts w:hint="default"/>
          <w:sz w:val="27"/>
          <w:u w:val="single"/>
          <w:lang w:val="pt-BR"/>
        </w:rPr>
        <w:t xml:space="preserve">E-mail:                                                                                                                       </w:t>
      </w:r>
    </w:p>
    <w:p>
      <w:pPr>
        <w:pStyle w:val="4"/>
        <w:spacing w:before="9"/>
        <w:rPr>
          <w:sz w:val="19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6" w:type="dxa"/>
          </w:tcPr>
          <w:p>
            <w:pPr>
              <w:pStyle w:val="4"/>
              <w:tabs>
                <w:tab w:val="left" w:pos="1300"/>
                <w:tab w:val="left" w:pos="4720"/>
                <w:tab w:val="left" w:pos="5140"/>
              </w:tabs>
              <w:spacing w:before="98"/>
              <w:ind w:right="2859"/>
              <w:rPr>
                <w:rFonts w:hint="default"/>
                <w:sz w:val="27"/>
                <w:vertAlign w:val="baseline"/>
                <w:lang w:val="pt-BR"/>
              </w:rPr>
            </w:pPr>
            <w:r>
              <w:rPr>
                <w:rFonts w:hint="default"/>
                <w:sz w:val="27"/>
                <w:vertAlign w:val="baseline"/>
                <w:lang w:val="pt-BR"/>
              </w:rPr>
              <w:t>Justificativa de ausência eleitoral:</w:t>
            </w:r>
          </w:p>
          <w:p>
            <w:pPr>
              <w:pStyle w:val="4"/>
              <w:tabs>
                <w:tab w:val="left" w:pos="1300"/>
                <w:tab w:val="left" w:pos="4720"/>
                <w:tab w:val="left" w:pos="5140"/>
              </w:tabs>
              <w:spacing w:before="98"/>
              <w:ind w:right="60" w:rightChars="0"/>
              <w:rPr>
                <w:rFonts w:hint="default"/>
                <w:sz w:val="27"/>
                <w:vertAlign w:val="baseline"/>
                <w:lang w:val="pt-BR"/>
              </w:rPr>
            </w:pPr>
            <w:r>
              <w:rPr>
                <w:rFonts w:hint="default"/>
                <w:sz w:val="27"/>
                <w:vertAlign w:val="baseline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sz w:val="15"/>
          <w:szCs w:val="15"/>
          <w:lang w:val="pt-BR"/>
        </w:rPr>
      </w:pP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sz w:val="15"/>
          <w:szCs w:val="15"/>
          <w:lang w:val="pt-BR"/>
        </w:rPr>
      </w:pPr>
      <w:r>
        <w:rPr>
          <w:rFonts w:hint="default"/>
          <w:b/>
          <w:bCs/>
          <w:sz w:val="15"/>
          <w:szCs w:val="15"/>
          <w:lang w:val="pt-BR"/>
        </w:rPr>
        <w:t>ANEXAR: comprovante de passagens / atestado de doença / convocações judiciais e/ou outros comprovantes.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  <w:lang w:val="pt-BR"/>
        </w:rPr>
        <w:t>“Resolução COF</w:t>
      </w:r>
      <w:bookmarkStart w:id="0" w:name="_GoBack"/>
      <w:bookmarkEnd w:id="0"/>
      <w:r>
        <w:rPr>
          <w:rFonts w:hint="default"/>
          <w:b/>
          <w:bCs/>
          <w:i/>
          <w:iCs/>
          <w:sz w:val="15"/>
          <w:szCs w:val="15"/>
          <w:lang w:val="pt-BR"/>
        </w:rPr>
        <w:t xml:space="preserve">FITO 519. </w:t>
      </w:r>
      <w:r>
        <w:rPr>
          <w:rFonts w:hint="default"/>
          <w:b/>
          <w:bCs/>
          <w:i/>
          <w:iCs/>
          <w:sz w:val="15"/>
          <w:szCs w:val="15"/>
        </w:rPr>
        <w:t>Art. 2º O voto é secreto, obrigatório, direto e pessoal, e será exercido pelo Fisioterapeuta e pelo Terapeuta Ocupacional na circunscrição do Conselho Regional de seu registro profissional.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§ 1º O voto é facultativo para os profissionais com idade igual ou superior a 70 anos.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§ 2º Consideram-se causas justificadas para os fins do disposto neste artigo: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a) impedimento legal ou de força maior;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b) enfermidade;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c) ausência do profissional da sua circunscrição, não se aplicando esta justificativa para a modalidade eletrônica de votação.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§ 3º O CREFITO, em ato próprio, deverá determinar a forma como serão apresentadas as justificativas, bem como o prazo, que não poderá ser superior a seis meses da data das eleições, cabendo ao profissional a prova de suas alegações.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§ 4º Caberá a órgão do CREFITO, especialmente designado pelo Plenário do Conselho Regional eleito, a análise das justificativas.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</w:rPr>
      </w:pPr>
      <w:r>
        <w:rPr>
          <w:rFonts w:hint="default"/>
          <w:b/>
          <w:bCs/>
          <w:i/>
          <w:iCs/>
          <w:sz w:val="15"/>
          <w:szCs w:val="15"/>
        </w:rPr>
        <w:t>§ 5º Em caso de indeferimento da justificativa, o profissional poderá recorrer ao Plenário do CREFITO.</w:t>
      </w:r>
    </w:p>
    <w:p>
      <w:pPr>
        <w:pStyle w:val="4"/>
        <w:tabs>
          <w:tab w:val="left" w:pos="8450"/>
          <w:tab w:val="left" w:pos="10734"/>
        </w:tabs>
        <w:spacing w:before="1"/>
        <w:ind w:left="100"/>
        <w:jc w:val="both"/>
        <w:rPr>
          <w:rFonts w:hint="default"/>
          <w:b/>
          <w:bCs/>
          <w:i/>
          <w:iCs/>
          <w:sz w:val="15"/>
          <w:szCs w:val="15"/>
          <w:lang w:val="pt-BR"/>
        </w:rPr>
      </w:pPr>
      <w:r>
        <w:rPr>
          <w:rFonts w:hint="default"/>
          <w:b/>
          <w:bCs/>
          <w:i/>
          <w:iCs/>
          <w:sz w:val="15"/>
          <w:szCs w:val="15"/>
        </w:rPr>
        <w:t>Art. 3º Ao Fisioterapeuta e ao Terapeuta Ocupacional que deixarem de votar, sem causa justificada, o CREFITO aplicará pena de multa em importância equivalente a 20% (vinte por cento) da anuidade fixada para o ano em que ocorrerem as eleições.</w:t>
      </w:r>
      <w:r>
        <w:rPr>
          <w:rFonts w:hint="default"/>
          <w:b/>
          <w:bCs/>
          <w:i/>
          <w:iCs/>
          <w:sz w:val="15"/>
          <w:szCs w:val="15"/>
          <w:lang w:val="pt-BR"/>
        </w:rPr>
        <w:t>”</w:t>
      </w:r>
    </w:p>
    <w:p>
      <w:pPr>
        <w:pStyle w:val="4"/>
        <w:tabs>
          <w:tab w:val="left" w:pos="8450"/>
          <w:tab w:val="left" w:pos="10734"/>
        </w:tabs>
        <w:spacing w:before="1"/>
        <w:jc w:val="both"/>
        <w:rPr>
          <w:b/>
          <w:bCs/>
        </w:rPr>
      </w:pPr>
    </w:p>
    <w:p>
      <w:pPr>
        <w:pStyle w:val="4"/>
        <w:tabs>
          <w:tab w:val="left" w:pos="8450"/>
          <w:tab w:val="left" w:pos="10734"/>
        </w:tabs>
        <w:spacing w:before="1"/>
        <w:jc w:val="both"/>
        <w:rPr>
          <w:b/>
          <w:bCs/>
        </w:rPr>
      </w:pPr>
    </w:p>
    <w:p>
      <w:pPr>
        <w:pStyle w:val="4"/>
        <w:jc w:val="center"/>
        <w:rPr>
          <w:sz w:val="20"/>
        </w:rPr>
      </w:pPr>
    </w:p>
    <w:p>
      <w:pPr>
        <w:pStyle w:val="4"/>
        <w:jc w:val="center"/>
        <w:rPr>
          <w:rFonts w:hint="default"/>
          <w:sz w:val="2"/>
          <w:lang w:val="pt-BR"/>
        </w:rPr>
        <w:sectPr>
          <w:type w:val="continuous"/>
          <w:pgSz w:w="12240" w:h="15840"/>
          <w:pgMar w:top="240" w:right="580" w:bottom="280" w:left="600" w:header="720" w:footer="720" w:gutter="0"/>
          <w:cols w:space="720" w:num="1"/>
        </w:sectPr>
      </w:pPr>
      <w:r>
        <w:rPr>
          <w:rFonts w:hint="default"/>
          <w:sz w:val="20"/>
          <w:lang w:val="pt-BR"/>
        </w:rPr>
        <w:t>Assinatura e Carimbo do Profissional                                           Data:_____/_____/______</w:t>
      </w:r>
    </w:p>
    <w:p>
      <w:pPr>
        <w:pStyle w:val="4"/>
        <w:tabs>
          <w:tab w:val="left" w:pos="958"/>
          <w:tab w:val="left" w:pos="1768"/>
          <w:tab w:val="left" w:pos="2920"/>
        </w:tabs>
        <w:spacing w:before="1"/>
        <w:ind w:right="179"/>
      </w:pPr>
      <w:r>
        <w:br w:type="column"/>
      </w:r>
    </w:p>
    <w:sectPr>
      <w:type w:val="continuous"/>
      <w:pgSz w:w="12240" w:h="15840"/>
      <w:pgMar w:top="240" w:right="580" w:bottom="280" w:left="600" w:header="720" w:footer="720" w:gutter="0"/>
      <w:cols w:equalWidth="0" w:num="2">
        <w:col w:w="4374" w:space="3486"/>
        <w:col w:w="3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3"/>
    <w:rsid w:val="005F0743"/>
    <w:rsid w:val="006B650F"/>
    <w:rsid w:val="6F1C393C"/>
    <w:rsid w:val="73D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Normal (Web)"/>
    <w:basedOn w:val="1"/>
    <w:semiHidden/>
    <w:unhideWhenUsed/>
    <w:qFormat/>
    <w:uiPriority w:val="99"/>
    <w:rPr>
      <w:szCs w:val="24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exto de balão Char"/>
    <w:basedOn w:val="2"/>
    <w:link w:val="6"/>
    <w:semiHidden/>
    <w:uiPriority w:val="99"/>
    <w:rPr>
      <w:rFonts w:ascii="Tahoma" w:hAnsi="Tahoma" w:eastAsia="Verdana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630</Characters>
  <Lines>5</Lines>
  <Paragraphs>1</Paragraphs>
  <TotalTime>1</TotalTime>
  <ScaleCrop>false</ScaleCrop>
  <LinksUpToDate>false</LinksUpToDate>
  <CharactersWithSpaces>745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2019-12-10T13:02:00Z</dcterms:created>
  <dc:creator>contr</dc:creator>
  <cp:lastModifiedBy>contr</cp:lastModifiedBy>
  <dcterms:modified xsi:type="dcterms:W3CDTF">2023-07-03T15:35:20Z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36714E8E57724101BE6204EC9323603F</vt:lpwstr>
  </property>
</Properties>
</file>